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8040EEC"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A875EA">
        <w:rPr>
          <w:bCs/>
          <w:noProof w:val="0"/>
          <w:sz w:val="24"/>
          <w:szCs w:val="24"/>
        </w:rPr>
        <w:t>1810157</w:t>
      </w:r>
    </w:p>
    <w:p w14:paraId="231362B2" w14:textId="41B81ADF"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598A1F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6691" w:rsidRPr="00B56691">
        <w:rPr>
          <w:rFonts w:cs="Arial"/>
          <w:b/>
          <w:bCs/>
          <w:sz w:val="24"/>
        </w:rPr>
        <w:t>10.3.1.4.2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6651E4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351C">
        <w:rPr>
          <w:rFonts w:ascii="Arial" w:hAnsi="Arial" w:cs="Arial"/>
          <w:b/>
          <w:bCs/>
          <w:sz w:val="24"/>
        </w:rPr>
        <w:t>Msg3 handling when s</w:t>
      </w:r>
      <w:r w:rsidR="00366AB7">
        <w:rPr>
          <w:rFonts w:ascii="Arial" w:hAnsi="Arial" w:cs="Arial"/>
          <w:b/>
          <w:bCs/>
          <w:sz w:val="24"/>
        </w:rPr>
        <w:t>witching from CBRA to CFRA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A34C9EA" w:rsidR="00CD4C7B" w:rsidRDefault="00B56691" w:rsidP="00CD4C7B">
      <w:r>
        <w:t>In</w:t>
      </w:r>
      <w:r w:rsidR="00366AB7">
        <w:t xml:space="preserve"> the previous RAN2#102 meeting, the issue of switching from CBRA (Contention Based Random Access) to CFRA (Contention Free Random Access) during a single RA</w:t>
      </w:r>
      <w:r w:rsidR="00894444">
        <w:t xml:space="preserve"> (Random Access)</w:t>
      </w:r>
      <w:r w:rsidR="00366AB7">
        <w:t xml:space="preserve"> procedure was briefly discussed:</w:t>
      </w:r>
    </w:p>
    <w:bookmarkStart w:id="0" w:name="_Hlk517174694"/>
    <w:p w14:paraId="4F1DC4FA" w14:textId="6030E619" w:rsidR="00366AB7" w:rsidRPr="00366AB7" w:rsidRDefault="00366AB7" w:rsidP="00366AB7">
      <w:pPr>
        <w:spacing w:before="60" w:after="0"/>
        <w:ind w:left="1259" w:hanging="975"/>
        <w:rPr>
          <w:rFonts w:ascii="Arial" w:eastAsia="MS Mincho" w:hAnsi="Arial"/>
          <w:i/>
          <w:noProof/>
          <w:szCs w:val="24"/>
          <w:lang w:eastAsia="en-GB"/>
        </w:rPr>
      </w:pPr>
      <w:r w:rsidRPr="00366AB7">
        <w:rPr>
          <w:rFonts w:ascii="Arial" w:eastAsia="MS Mincho" w:hAnsi="Arial"/>
          <w:i/>
          <w:noProof/>
          <w:szCs w:val="24"/>
          <w:lang w:eastAsia="en-GB"/>
        </w:rPr>
        <w:fldChar w:fldCharType="begin"/>
      </w:r>
      <w:r w:rsidR="00815F22">
        <w:rPr>
          <w:rFonts w:ascii="Arial" w:eastAsia="MS Mincho" w:hAnsi="Arial"/>
          <w:i/>
          <w:noProof/>
          <w:szCs w:val="24"/>
          <w:lang w:eastAsia="en-GB"/>
        </w:rPr>
        <w:instrText>HYPERLINK "http://www.3gpp.org/ftp/tsg_ran/WG2_RL2/TSGR2_102/Docs/R2-1806919.zip" \o "D:Documents3GPPtsg_ranWG2RAN2DocsR2-1806919.zip"</w:instrText>
      </w:r>
      <w:r w:rsidRPr="00366AB7">
        <w:rPr>
          <w:rFonts w:ascii="Arial" w:eastAsia="MS Mincho" w:hAnsi="Arial"/>
          <w:i/>
          <w:noProof/>
          <w:szCs w:val="24"/>
          <w:lang w:eastAsia="en-GB"/>
        </w:rPr>
        <w:fldChar w:fldCharType="separate"/>
      </w:r>
      <w:r w:rsidRPr="00366AB7">
        <w:rPr>
          <w:rFonts w:ascii="Arial" w:eastAsia="MS Mincho" w:hAnsi="Arial"/>
          <w:i/>
          <w:noProof/>
          <w:color w:val="0000FF"/>
          <w:szCs w:val="24"/>
          <w:u w:val="single"/>
          <w:lang w:eastAsia="en-GB"/>
        </w:rPr>
        <w:t>R2-1806919</w:t>
      </w:r>
      <w:r w:rsidRPr="00366AB7">
        <w:rPr>
          <w:rFonts w:ascii="Arial" w:eastAsia="MS Mincho" w:hAnsi="Arial"/>
          <w:i/>
          <w:noProof/>
          <w:szCs w:val="24"/>
          <w:lang w:eastAsia="en-GB"/>
        </w:rPr>
        <w:fldChar w:fldCharType="end"/>
      </w:r>
      <w:bookmarkEnd w:id="0"/>
      <w:r w:rsidRPr="00366AB7">
        <w:rPr>
          <w:rFonts w:ascii="Arial" w:eastAsia="MS Mincho" w:hAnsi="Arial"/>
          <w:i/>
          <w:noProof/>
          <w:szCs w:val="24"/>
          <w:lang w:eastAsia="en-GB"/>
        </w:rPr>
        <w:tab/>
        <w:t>Discussion on Random Access Preamble selection for Handover</w:t>
      </w:r>
      <w:r w:rsidRPr="00366AB7">
        <w:rPr>
          <w:rFonts w:ascii="Arial" w:eastAsia="MS Mincho" w:hAnsi="Arial"/>
          <w:i/>
          <w:noProof/>
          <w:szCs w:val="24"/>
          <w:lang w:eastAsia="en-GB"/>
        </w:rPr>
        <w:tab/>
        <w:t>ASUSTeK</w:t>
      </w:r>
      <w:r w:rsidRPr="00366AB7">
        <w:rPr>
          <w:rFonts w:ascii="Arial" w:eastAsia="MS Mincho" w:hAnsi="Arial"/>
          <w:i/>
          <w:noProof/>
          <w:szCs w:val="24"/>
          <w:lang w:eastAsia="en-GB"/>
        </w:rPr>
        <w:tab/>
        <w:t>discussion</w:t>
      </w:r>
      <w:r w:rsidRPr="00366AB7">
        <w:rPr>
          <w:rFonts w:ascii="Arial" w:eastAsia="MS Mincho" w:hAnsi="Arial"/>
          <w:i/>
          <w:noProof/>
          <w:szCs w:val="24"/>
          <w:lang w:eastAsia="en-GB"/>
        </w:rPr>
        <w:tab/>
        <w:t>Rel-15</w:t>
      </w:r>
      <w:r w:rsidRPr="00366AB7">
        <w:rPr>
          <w:rFonts w:ascii="Arial" w:eastAsia="MS Mincho" w:hAnsi="Arial"/>
          <w:i/>
          <w:noProof/>
          <w:szCs w:val="24"/>
          <w:lang w:eastAsia="en-GB"/>
        </w:rPr>
        <w:tab/>
        <w:t>38.321</w:t>
      </w:r>
      <w:r w:rsidRPr="00366AB7">
        <w:rPr>
          <w:rFonts w:ascii="Arial" w:eastAsia="MS Mincho" w:hAnsi="Arial"/>
          <w:i/>
          <w:noProof/>
          <w:szCs w:val="24"/>
          <w:lang w:eastAsia="en-GB"/>
        </w:rPr>
        <w:tab/>
        <w:t>NR_newRAT-Core</w:t>
      </w:r>
    </w:p>
    <w:p w14:paraId="441A9C56" w14:textId="77777777" w:rsidR="00366AB7" w:rsidRPr="00366AB7" w:rsidRDefault="00366AB7" w:rsidP="00366AB7">
      <w:pPr>
        <w:numPr>
          <w:ilvl w:val="0"/>
          <w:numId w:val="5"/>
        </w:numPr>
        <w:tabs>
          <w:tab w:val="left" w:pos="1622"/>
        </w:tabs>
        <w:spacing w:before="40" w:after="0"/>
        <w:rPr>
          <w:rFonts w:ascii="Arial" w:eastAsia="MS Mincho" w:hAnsi="Arial"/>
          <w:i/>
          <w:szCs w:val="24"/>
          <w:lang w:eastAsia="en-GB"/>
        </w:rPr>
      </w:pPr>
      <w:r w:rsidRPr="00366AB7">
        <w:rPr>
          <w:rFonts w:ascii="Arial" w:eastAsia="MS Mincho" w:hAnsi="Arial"/>
          <w:i/>
          <w:szCs w:val="24"/>
          <w:lang w:eastAsia="en-GB"/>
        </w:rPr>
        <w:t xml:space="preserve">Google think that this was discussed before and it was agreed to leave to UE impl. </w:t>
      </w:r>
    </w:p>
    <w:p w14:paraId="4BEC7033" w14:textId="77777777" w:rsidR="00366AB7" w:rsidRPr="00366AB7" w:rsidRDefault="00366AB7" w:rsidP="00366AB7">
      <w:pPr>
        <w:numPr>
          <w:ilvl w:val="0"/>
          <w:numId w:val="5"/>
        </w:numPr>
        <w:tabs>
          <w:tab w:val="left" w:pos="1622"/>
        </w:tabs>
        <w:spacing w:before="40" w:after="0"/>
        <w:rPr>
          <w:rFonts w:ascii="Arial" w:eastAsia="MS Mincho" w:hAnsi="Arial"/>
          <w:i/>
          <w:szCs w:val="24"/>
          <w:lang w:eastAsia="en-GB"/>
        </w:rPr>
      </w:pPr>
      <w:r w:rsidRPr="00366AB7">
        <w:rPr>
          <w:rFonts w:ascii="Arial" w:eastAsia="MS Mincho" w:hAnsi="Arial"/>
          <w:i/>
          <w:szCs w:val="24"/>
          <w:lang w:eastAsia="en-GB"/>
        </w:rPr>
        <w:t>LG think that at CFRA success the HARQ buffer is cleared but the message can be retransmitted acc to RLC-AM. Lenovo agrees. ASUStek think only HARQ buffer is flushed. Ericsson think the message is still available in MAC in the MSG3 buffer and the UE can use the message for thransmission after successful CFRA</w:t>
      </w:r>
    </w:p>
    <w:p w14:paraId="48993004" w14:textId="77777777" w:rsidR="00366AB7" w:rsidRPr="00366AB7" w:rsidRDefault="00366AB7" w:rsidP="00366AB7">
      <w:pPr>
        <w:numPr>
          <w:ilvl w:val="0"/>
          <w:numId w:val="5"/>
        </w:numPr>
        <w:tabs>
          <w:tab w:val="left" w:pos="1622"/>
        </w:tabs>
        <w:spacing w:before="40" w:after="0"/>
        <w:rPr>
          <w:rFonts w:ascii="Arial" w:eastAsia="MS Mincho" w:hAnsi="Arial"/>
          <w:i/>
          <w:szCs w:val="24"/>
          <w:lang w:eastAsia="en-GB"/>
        </w:rPr>
      </w:pPr>
      <w:r w:rsidRPr="00366AB7">
        <w:rPr>
          <w:rFonts w:ascii="Arial" w:eastAsia="MS Mincho" w:hAnsi="Arial"/>
          <w:i/>
          <w:szCs w:val="24"/>
          <w:lang w:eastAsia="en-GB"/>
        </w:rPr>
        <w:t xml:space="preserve">Chair: not clear that there is an issue, possibly something to clarify. </w:t>
      </w:r>
    </w:p>
    <w:p w14:paraId="37D3DAFA" w14:textId="77777777" w:rsidR="00366AB7" w:rsidRPr="00366AB7" w:rsidRDefault="00366AB7" w:rsidP="00366AB7">
      <w:pPr>
        <w:tabs>
          <w:tab w:val="num" w:pos="1619"/>
        </w:tabs>
        <w:spacing w:before="60" w:after="0"/>
        <w:ind w:left="1619" w:hanging="360"/>
        <w:rPr>
          <w:rFonts w:ascii="Arial" w:eastAsia="MS Mincho" w:hAnsi="Arial"/>
          <w:b/>
          <w:i/>
          <w:szCs w:val="24"/>
          <w:lang w:eastAsia="en-GB"/>
        </w:rPr>
      </w:pPr>
      <w:r w:rsidRPr="00366AB7">
        <w:rPr>
          <w:rFonts w:ascii="Arial" w:eastAsia="MS Mincho" w:hAnsi="Arial"/>
          <w:b/>
          <w:i/>
          <w:szCs w:val="24"/>
          <w:lang w:eastAsia="en-GB"/>
        </w:rPr>
        <w:t>Noted</w:t>
      </w:r>
    </w:p>
    <w:p w14:paraId="4CE14DD5" w14:textId="77777777" w:rsidR="00366AB7" w:rsidRDefault="00366AB7" w:rsidP="00CD4C7B"/>
    <w:p w14:paraId="52923C3D" w14:textId="46407B63" w:rsidR="00366AB7" w:rsidRPr="006E13D1" w:rsidRDefault="00366AB7" w:rsidP="00CD4C7B">
      <w:r>
        <w:t xml:space="preserve">In this contribution, this issue is </w:t>
      </w:r>
      <w:r w:rsidR="00FE0BF7">
        <w:t xml:space="preserve">discussed further and </w:t>
      </w:r>
      <w:r w:rsidR="000F16D7">
        <w:t>it is observed there are indeed some side effects with the current design.</w:t>
      </w:r>
    </w:p>
    <w:p w14:paraId="127ACA6D" w14:textId="36B52F5D" w:rsidR="00CD4C7B" w:rsidRPr="006E13D1" w:rsidRDefault="00CD4C7B" w:rsidP="00CD4C7B">
      <w:pPr>
        <w:pStyle w:val="Heading1"/>
      </w:pPr>
      <w:r w:rsidRPr="006E13D1">
        <w:t>2</w:t>
      </w:r>
      <w:r w:rsidRPr="006E13D1">
        <w:tab/>
      </w:r>
      <w:r w:rsidR="000F16D7">
        <w:t>Discussion</w:t>
      </w:r>
    </w:p>
    <w:p w14:paraId="33F31718" w14:textId="0A7E031B" w:rsidR="000F16D7" w:rsidRDefault="000F16D7" w:rsidP="000F16D7">
      <w:pPr>
        <w:pStyle w:val="Heading2"/>
      </w:pPr>
      <w:r>
        <w:t>2.1</w:t>
      </w:r>
      <w:r>
        <w:tab/>
        <w:t>LTE principle</w:t>
      </w:r>
    </w:p>
    <w:p w14:paraId="7D7F9772" w14:textId="2B9F7026" w:rsidR="000F16D7" w:rsidRDefault="000F16D7" w:rsidP="000F16D7">
      <w:r>
        <w:t>In LTE, the issue of different size of grants provided by the NW for Msg3 transmission was discussed.</w:t>
      </w:r>
      <w:r w:rsidR="00894444">
        <w:t xml:space="preserve"> </w:t>
      </w:r>
      <w:r>
        <w:t xml:space="preserve">As such it was seen an unlikely scenario given that this happens only with CBRA, hence, the handling was left to UE implementation by specifying the following note into </w:t>
      </w:r>
      <w:hyperlink r:id="rId12" w:history="1">
        <w:r w:rsidRPr="000F16D7">
          <w:rPr>
            <w:rStyle w:val="Hyperlink"/>
          </w:rPr>
          <w:t>TS 36.321</w:t>
        </w:r>
      </w:hyperlink>
      <w:r>
        <w:t>:</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CD462C" w14:paraId="4D5A7B3D" w14:textId="77777777" w:rsidTr="00E72E4F">
        <w:tc>
          <w:tcPr>
            <w:tcW w:w="9631" w:type="dxa"/>
            <w:shd w:val="clear" w:color="auto" w:fill="D9D9D9" w:themeFill="background1" w:themeFillShade="D9"/>
          </w:tcPr>
          <w:p w14:paraId="7B9990F2" w14:textId="77777777" w:rsidR="00CD462C" w:rsidRPr="00CD462C" w:rsidRDefault="00CD462C" w:rsidP="00CD462C">
            <w:pPr>
              <w:keepLines/>
              <w:overflowPunct w:val="0"/>
              <w:autoSpaceDE w:val="0"/>
              <w:autoSpaceDN w:val="0"/>
              <w:adjustRightInd w:val="0"/>
              <w:ind w:left="1135" w:hanging="851"/>
              <w:textAlignment w:val="baseline"/>
              <w:rPr>
                <w:noProof/>
                <w:lang w:eastAsia="ja-JP"/>
              </w:rPr>
            </w:pPr>
            <w:r w:rsidRPr="000F16D7">
              <w:rPr>
                <w:noProof/>
                <w:lang w:eastAsia="ja-JP"/>
              </w:rPr>
              <w:t>NOTE:</w:t>
            </w:r>
            <w:r w:rsidRPr="000F16D7">
              <w:rPr>
                <w:noProof/>
                <w:lang w:eastAsia="ja-JP"/>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tc>
      </w:tr>
    </w:tbl>
    <w:p w14:paraId="50F10311" w14:textId="77777777" w:rsidR="00CD462C" w:rsidRDefault="00CD462C" w:rsidP="000F16D7"/>
    <w:p w14:paraId="3FE0F510" w14:textId="5404A313" w:rsidR="000F16D7" w:rsidRPr="00894444" w:rsidRDefault="000F16D7" w:rsidP="000F16D7">
      <w:pPr>
        <w:rPr>
          <w:b/>
        </w:rPr>
      </w:pPr>
      <w:r>
        <w:t xml:space="preserve">It should be noted that such a note does </w:t>
      </w:r>
      <w:r w:rsidR="00894444">
        <w:t xml:space="preserve">not </w:t>
      </w:r>
      <w:r>
        <w:t xml:space="preserve">currently exist in the </w:t>
      </w:r>
      <w:hyperlink r:id="rId13" w:history="1">
        <w:r w:rsidRPr="000F16D7">
          <w:rPr>
            <w:rStyle w:val="Hyperlink"/>
          </w:rPr>
          <w:t>TS 38.321</w:t>
        </w:r>
      </w:hyperlink>
      <w:r>
        <w:t>.</w:t>
      </w:r>
      <w:r w:rsidR="00894444" w:rsidRPr="00894444">
        <w:t xml:space="preserve"> </w:t>
      </w:r>
      <w:r w:rsidR="00894444">
        <w:t>Also, given that LTE always allocates CFRA resource in the whole cell for the UE, no switching from CFRA to CBRA, or vice versa, happens within one RA procedure.</w:t>
      </w:r>
    </w:p>
    <w:p w14:paraId="4BC8B9A8" w14:textId="3889906E" w:rsidR="000F16D7" w:rsidRDefault="00894444" w:rsidP="00894444">
      <w:pPr>
        <w:pStyle w:val="Heading2"/>
      </w:pPr>
      <w:r>
        <w:t>2.2</w:t>
      </w:r>
      <w:r>
        <w:tab/>
        <w:t>NR principle</w:t>
      </w:r>
    </w:p>
    <w:p w14:paraId="1076AFD8" w14:textId="6C67578D" w:rsidR="00894444" w:rsidRPr="00894444" w:rsidRDefault="00894444" w:rsidP="00894444">
      <w:r>
        <w:t>Unlike LTE, NR UE may end up switching between CFRA and CBRA based on the selected beam for each RA resource selection</w:t>
      </w:r>
      <w:r w:rsidR="009729F1">
        <w:t xml:space="preserve"> as NW is expected to allocate CFRA resources only to subset of the beams in a cell. E</w:t>
      </w:r>
      <w:r>
        <w:t xml:space="preserve">ven though CFRA is prioritized, </w:t>
      </w:r>
      <w:r w:rsidR="009729F1">
        <w:t xml:space="preserve">even </w:t>
      </w:r>
      <w:r>
        <w:t xml:space="preserve">the switching from CBRA to CFRA may happen in case the UE is moving (e.g., as probable in HO scenario). If the UE first applies CFRA and then switches to CBRA, no issues are foreseen as Msg3 is only generated </w:t>
      </w:r>
      <w:r w:rsidR="009729F1">
        <w:t>during the first CBRA attempt (as for CFRA, the RA procedure is already successful by receiving the Msg2 from the NW).</w:t>
      </w:r>
    </w:p>
    <w:p w14:paraId="543075C5" w14:textId="3B93DA76" w:rsidR="000F16D7" w:rsidRDefault="009729F1" w:rsidP="00CD4C7B">
      <w:r>
        <w:lastRenderedPageBreak/>
        <w:t xml:space="preserve">However, when the UE applies CBRA and then switches to CFRA, the Msg3 has been generated and according to the </w:t>
      </w:r>
      <w:hyperlink r:id="rId14" w:history="1">
        <w:r w:rsidRPr="000F16D7">
          <w:rPr>
            <w:rStyle w:val="Hyperlink"/>
          </w:rPr>
          <w:t>TS 38.321</w:t>
        </w:r>
      </w:hyperlink>
      <w:r>
        <w:t xml:space="preserve"> it shall also be transmitted with CFRA</w:t>
      </w:r>
      <w:r w:rsidR="00723AD7">
        <w:t>:</w:t>
      </w:r>
    </w:p>
    <w:p w14:paraId="3230B84F" w14:textId="6DADDF3F" w:rsidR="00723AD7" w:rsidRDefault="00723AD7" w:rsidP="00CD4C7B">
      <w:r>
        <w:tab/>
        <w:t>1.</w:t>
      </w:r>
      <w:r>
        <w:tab/>
        <w:t>Upon completion of the RA procedure, the HARQ buffer is flushed but not the Msg3 buffer:</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9729F1" w14:paraId="1ED59BAB" w14:textId="77777777" w:rsidTr="009729F1">
        <w:tc>
          <w:tcPr>
            <w:tcW w:w="9631" w:type="dxa"/>
            <w:shd w:val="clear" w:color="auto" w:fill="D9D9D9" w:themeFill="background1" w:themeFillShade="D9"/>
          </w:tcPr>
          <w:p w14:paraId="03C1B123" w14:textId="77777777" w:rsidR="009729F1" w:rsidRPr="009729F1" w:rsidRDefault="009729F1" w:rsidP="009729F1">
            <w:pPr>
              <w:keepNext/>
              <w:keepLines/>
              <w:spacing w:before="120"/>
              <w:ind w:left="1134" w:hanging="1134"/>
              <w:outlineLvl w:val="2"/>
              <w:rPr>
                <w:rFonts w:ascii="Arial" w:eastAsia="Malgun Gothic" w:hAnsi="Arial"/>
                <w:sz w:val="28"/>
                <w:lang w:eastAsia="ko-KR"/>
              </w:rPr>
            </w:pPr>
            <w:bookmarkStart w:id="1" w:name="_Toc510431864"/>
            <w:r w:rsidRPr="009729F1">
              <w:rPr>
                <w:rFonts w:ascii="Arial" w:eastAsia="Malgun Gothic" w:hAnsi="Arial"/>
                <w:sz w:val="28"/>
                <w:lang w:eastAsia="ko-KR"/>
              </w:rPr>
              <w:t>5.1.6</w:t>
            </w:r>
            <w:r w:rsidRPr="009729F1">
              <w:rPr>
                <w:rFonts w:ascii="Arial" w:eastAsia="Malgun Gothic" w:hAnsi="Arial"/>
                <w:sz w:val="28"/>
                <w:lang w:eastAsia="ko-KR"/>
              </w:rPr>
              <w:tab/>
              <w:t>Completion of the Random Access procedure</w:t>
            </w:r>
            <w:bookmarkEnd w:id="1"/>
          </w:p>
          <w:p w14:paraId="38B5402A" w14:textId="77777777" w:rsidR="009729F1" w:rsidRPr="009729F1" w:rsidRDefault="009729F1" w:rsidP="009729F1">
            <w:pPr>
              <w:rPr>
                <w:rFonts w:eastAsia="Malgun Gothic"/>
                <w:lang w:eastAsia="ko-KR"/>
              </w:rPr>
            </w:pPr>
            <w:r w:rsidRPr="009729F1">
              <w:rPr>
                <w:rFonts w:eastAsia="Malgun Gothic"/>
                <w:lang w:eastAsia="ko-KR"/>
              </w:rPr>
              <w:t>Upon completion of the Random Access procedure, the MAC entity shall:</w:t>
            </w:r>
          </w:p>
          <w:p w14:paraId="1C6B6ACB" w14:textId="77777777" w:rsidR="009729F1" w:rsidRPr="009729F1" w:rsidRDefault="009729F1" w:rsidP="009729F1">
            <w:pPr>
              <w:ind w:left="568" w:hanging="284"/>
              <w:rPr>
                <w:rFonts w:eastAsia="Malgun Gothic"/>
                <w:lang w:eastAsia="ko-KR"/>
              </w:rPr>
            </w:pPr>
            <w:r w:rsidRPr="009729F1">
              <w:rPr>
                <w:rFonts w:eastAsia="Malgun Gothic"/>
                <w:lang w:eastAsia="ko-KR"/>
              </w:rPr>
              <w:t>1&gt;</w:t>
            </w:r>
            <w:r w:rsidRPr="009729F1">
              <w:rPr>
                <w:rFonts w:eastAsia="Malgun Gothic"/>
                <w:lang w:eastAsia="ko-KR"/>
              </w:rPr>
              <w:tab/>
              <w:t>discard explicitly signalled contention-free Random Access Resources except contention-free Random Access Resources for beam failure recovery request, if any;</w:t>
            </w:r>
          </w:p>
          <w:p w14:paraId="508BD0C9" w14:textId="45848C80" w:rsidR="009729F1" w:rsidRPr="009729F1" w:rsidRDefault="009729F1" w:rsidP="009729F1">
            <w:pPr>
              <w:ind w:left="568" w:hanging="284"/>
              <w:rPr>
                <w:rFonts w:eastAsia="Malgun Gothic"/>
                <w:lang w:eastAsia="ko-KR"/>
              </w:rPr>
            </w:pPr>
            <w:r w:rsidRPr="009729F1">
              <w:rPr>
                <w:rFonts w:eastAsia="Malgun Gothic"/>
                <w:lang w:eastAsia="ko-KR"/>
              </w:rPr>
              <w:t>1&gt;</w:t>
            </w:r>
            <w:r w:rsidRPr="009729F1">
              <w:rPr>
                <w:rFonts w:eastAsia="Malgun Gothic"/>
                <w:lang w:eastAsia="ko-KR"/>
              </w:rPr>
              <w:tab/>
            </w:r>
            <w:r w:rsidRPr="009729F1">
              <w:rPr>
                <w:rFonts w:eastAsia="Malgun Gothic"/>
                <w:highlight w:val="yellow"/>
                <w:lang w:eastAsia="ko-KR"/>
              </w:rPr>
              <w:t>flush the HARQ buffer</w:t>
            </w:r>
            <w:r w:rsidRPr="009729F1">
              <w:rPr>
                <w:rFonts w:eastAsia="Malgun Gothic"/>
                <w:lang w:eastAsia="ko-KR"/>
              </w:rPr>
              <w:t xml:space="preserve"> used for transmission of the MAC PDU in the Msg3 buffer.</w:t>
            </w:r>
          </w:p>
        </w:tc>
      </w:tr>
    </w:tbl>
    <w:p w14:paraId="7A5B9F22" w14:textId="425A72D1" w:rsidR="009729F1" w:rsidRDefault="009729F1" w:rsidP="00CD4C7B"/>
    <w:p w14:paraId="22F38A61" w14:textId="6AFF63AF" w:rsidR="00723AD7" w:rsidRDefault="00723AD7" w:rsidP="00CD462C">
      <w:pPr>
        <w:ind w:left="568" w:hanging="283"/>
      </w:pPr>
      <w:r>
        <w:t>2.</w:t>
      </w:r>
      <w:r>
        <w:tab/>
        <w:t xml:space="preserve">In the HARQ </w:t>
      </w:r>
      <w:r w:rsidR="00CD462C">
        <w:t>Entity, in case UL grant is received in a RAR and there is a MAC PDU in the Msg3 buffer, the MAC PDU is obtained from the Msg3 buffer:</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CD462C" w14:paraId="5892EDA4" w14:textId="77777777" w:rsidTr="00E72E4F">
        <w:tc>
          <w:tcPr>
            <w:tcW w:w="9631" w:type="dxa"/>
            <w:shd w:val="clear" w:color="auto" w:fill="D9D9D9" w:themeFill="background1" w:themeFillShade="D9"/>
          </w:tcPr>
          <w:p w14:paraId="5A9D17BD" w14:textId="77777777" w:rsidR="00CD462C" w:rsidRPr="00CD462C" w:rsidRDefault="00CD462C" w:rsidP="00CD462C">
            <w:pPr>
              <w:keepNext/>
              <w:keepLines/>
              <w:spacing w:before="180"/>
              <w:ind w:left="1134" w:hanging="1134"/>
              <w:outlineLvl w:val="1"/>
              <w:rPr>
                <w:rFonts w:ascii="Arial" w:eastAsia="Malgun Gothic" w:hAnsi="Arial"/>
                <w:sz w:val="32"/>
                <w:lang w:eastAsia="ko-KR"/>
              </w:rPr>
            </w:pPr>
            <w:bookmarkStart w:id="2" w:name="_Toc510431872"/>
            <w:bookmarkStart w:id="3" w:name="_Toc510431874"/>
            <w:r w:rsidRPr="00CD462C">
              <w:rPr>
                <w:rFonts w:ascii="Arial" w:eastAsia="Malgun Gothic" w:hAnsi="Arial"/>
                <w:sz w:val="32"/>
                <w:lang w:eastAsia="ko-KR"/>
              </w:rPr>
              <w:t>5.4</w:t>
            </w:r>
            <w:r w:rsidRPr="00CD462C">
              <w:rPr>
                <w:rFonts w:ascii="Arial" w:eastAsia="Malgun Gothic" w:hAnsi="Arial"/>
                <w:sz w:val="32"/>
                <w:lang w:eastAsia="ko-KR"/>
              </w:rPr>
              <w:tab/>
              <w:t>UL-SCH data transfer</w:t>
            </w:r>
            <w:bookmarkEnd w:id="2"/>
          </w:p>
          <w:p w14:paraId="4A019D0F" w14:textId="77777777" w:rsidR="00CD462C" w:rsidRPr="00CD462C" w:rsidRDefault="00CD462C" w:rsidP="00CD462C">
            <w:pPr>
              <w:keepNext/>
              <w:keepLines/>
              <w:spacing w:before="120"/>
              <w:ind w:left="1134" w:hanging="1134"/>
              <w:outlineLvl w:val="2"/>
              <w:rPr>
                <w:rFonts w:ascii="Arial" w:eastAsia="Malgun Gothic" w:hAnsi="Arial"/>
                <w:sz w:val="28"/>
                <w:lang w:eastAsia="ko-KR"/>
              </w:rPr>
            </w:pPr>
            <w:r w:rsidRPr="00CD462C">
              <w:rPr>
                <w:rFonts w:ascii="Arial" w:eastAsia="Malgun Gothic" w:hAnsi="Arial"/>
                <w:sz w:val="28"/>
                <w:lang w:eastAsia="ko-KR"/>
              </w:rPr>
              <w:t>5.4.2</w:t>
            </w:r>
            <w:r w:rsidRPr="00CD462C">
              <w:rPr>
                <w:rFonts w:ascii="Arial" w:eastAsia="Malgun Gothic" w:hAnsi="Arial"/>
                <w:sz w:val="28"/>
                <w:lang w:eastAsia="ko-KR"/>
              </w:rPr>
              <w:tab/>
              <w:t>HARQ operation</w:t>
            </w:r>
            <w:bookmarkEnd w:id="3"/>
          </w:p>
          <w:p w14:paraId="3AF32536" w14:textId="77777777" w:rsidR="00CD462C" w:rsidRPr="00CD462C" w:rsidRDefault="00CD462C" w:rsidP="00CD462C">
            <w:pPr>
              <w:keepNext/>
              <w:keepLines/>
              <w:spacing w:before="120"/>
              <w:ind w:left="1418" w:hanging="1418"/>
              <w:outlineLvl w:val="3"/>
              <w:rPr>
                <w:rFonts w:ascii="Arial" w:eastAsia="Malgun Gothic" w:hAnsi="Arial"/>
                <w:sz w:val="24"/>
                <w:lang w:eastAsia="ko-KR"/>
              </w:rPr>
            </w:pPr>
            <w:bookmarkStart w:id="4" w:name="_Toc510431875"/>
            <w:r w:rsidRPr="00CD462C">
              <w:rPr>
                <w:rFonts w:ascii="Arial" w:eastAsia="Malgun Gothic" w:hAnsi="Arial"/>
                <w:sz w:val="24"/>
                <w:lang w:eastAsia="ko-KR"/>
              </w:rPr>
              <w:t>5.4.2.1</w:t>
            </w:r>
            <w:r w:rsidRPr="00CD462C">
              <w:rPr>
                <w:rFonts w:ascii="Arial" w:eastAsia="Malgun Gothic" w:hAnsi="Arial"/>
                <w:sz w:val="24"/>
                <w:lang w:eastAsia="ko-KR"/>
              </w:rPr>
              <w:tab/>
              <w:t>HARQ Entity</w:t>
            </w:r>
            <w:bookmarkEnd w:id="4"/>
          </w:p>
          <w:p w14:paraId="5E482729" w14:textId="6D97CFA8" w:rsidR="00CD462C" w:rsidRDefault="00CD462C" w:rsidP="00CD462C">
            <w:pPr>
              <w:rPr>
                <w:rFonts w:eastAsia="Malgun Gothic"/>
                <w:noProof/>
              </w:rPr>
            </w:pPr>
            <w:r>
              <w:rPr>
                <w:rFonts w:eastAsia="Malgun Gothic"/>
                <w:noProof/>
              </w:rPr>
              <w:t>(…)</w:t>
            </w:r>
          </w:p>
          <w:p w14:paraId="1CE75D83" w14:textId="57A489D2" w:rsidR="00CD462C" w:rsidRPr="00CD462C" w:rsidRDefault="00CD462C" w:rsidP="00CD462C">
            <w:pPr>
              <w:rPr>
                <w:rFonts w:eastAsia="Malgun Gothic"/>
                <w:noProof/>
              </w:rPr>
            </w:pPr>
            <w:r w:rsidRPr="00CD462C">
              <w:rPr>
                <w:rFonts w:eastAsia="Malgun Gothic"/>
                <w:noProof/>
              </w:rPr>
              <w:t xml:space="preserve">For each </w:t>
            </w:r>
            <w:r w:rsidRPr="00CD462C">
              <w:rPr>
                <w:rFonts w:eastAsia="Malgun Gothic"/>
                <w:noProof/>
                <w:lang w:eastAsia="ko-KR"/>
              </w:rPr>
              <w:t>uplink grant</w:t>
            </w:r>
            <w:r w:rsidRPr="00CD462C">
              <w:rPr>
                <w:rFonts w:eastAsia="Malgun Gothic"/>
                <w:noProof/>
              </w:rPr>
              <w:t>, the HARQ entity shall:</w:t>
            </w:r>
          </w:p>
          <w:p w14:paraId="72FB3CB5" w14:textId="77777777" w:rsidR="00CD462C" w:rsidRPr="00CD462C" w:rsidRDefault="00CD462C" w:rsidP="00CD462C">
            <w:pPr>
              <w:ind w:left="568" w:hanging="284"/>
              <w:rPr>
                <w:rFonts w:eastAsia="Malgun Gothic"/>
                <w:noProof/>
              </w:rPr>
            </w:pPr>
            <w:r w:rsidRPr="00CD462C">
              <w:rPr>
                <w:rFonts w:eastAsia="Malgun Gothic"/>
                <w:noProof/>
                <w:lang w:eastAsia="ko-KR"/>
              </w:rPr>
              <w:t>1&gt;</w:t>
            </w:r>
            <w:r w:rsidRPr="00CD462C">
              <w:rPr>
                <w:rFonts w:eastAsia="Malgun Gothic"/>
                <w:noProof/>
              </w:rPr>
              <w:tab/>
              <w:t xml:space="preserve">identify the HARQ process associated with this </w:t>
            </w:r>
            <w:r w:rsidRPr="00CD462C">
              <w:rPr>
                <w:rFonts w:eastAsia="Malgun Gothic"/>
                <w:noProof/>
                <w:lang w:eastAsia="ko-KR"/>
              </w:rPr>
              <w:t>grant</w:t>
            </w:r>
            <w:r w:rsidRPr="00CD462C">
              <w:rPr>
                <w:rFonts w:eastAsia="Malgun Gothic"/>
                <w:noProof/>
              </w:rPr>
              <w:t>, and for each identified HARQ process:</w:t>
            </w:r>
          </w:p>
          <w:p w14:paraId="2B54EEF4" w14:textId="77777777" w:rsidR="00CD462C" w:rsidRPr="00CD462C" w:rsidRDefault="00CD462C" w:rsidP="00CD462C">
            <w:pPr>
              <w:ind w:left="851" w:hanging="284"/>
              <w:rPr>
                <w:rFonts w:eastAsia="Malgun Gothic"/>
                <w:noProof/>
                <w:lang w:eastAsia="ko-KR"/>
              </w:rPr>
            </w:pPr>
            <w:r w:rsidRPr="00CD462C">
              <w:rPr>
                <w:rFonts w:eastAsia="Malgun Gothic"/>
                <w:noProof/>
                <w:lang w:eastAsia="ko-KR"/>
              </w:rPr>
              <w:t>2&gt;</w:t>
            </w:r>
            <w:r w:rsidRPr="00CD462C">
              <w:rPr>
                <w:rFonts w:eastAsia="Malgun Gothic"/>
                <w:noProof/>
              </w:rPr>
              <w:tab/>
              <w:t>if the received grant was not addressed to a Temporary C-RNTI on PDCCH</w:t>
            </w:r>
            <w:r w:rsidRPr="00CD462C">
              <w:rPr>
                <w:rFonts w:eastAsia="Malgun Gothic"/>
                <w:noProof/>
                <w:lang w:eastAsia="ko-KR"/>
              </w:rPr>
              <w:t>,</w:t>
            </w:r>
            <w:r w:rsidRPr="00CD462C">
              <w:rPr>
                <w:rFonts w:eastAsia="Malgun Gothic"/>
                <w:noProof/>
              </w:rPr>
              <w:t xml:space="preserve"> and the NDI provided in the associated HARQ information has been toggled compared to the value in the previous transmission of this TB of this HARQ process; or</w:t>
            </w:r>
          </w:p>
          <w:p w14:paraId="745FE293" w14:textId="77777777" w:rsidR="00CD462C" w:rsidRPr="00CD462C" w:rsidRDefault="00CD462C" w:rsidP="00CD462C">
            <w:pPr>
              <w:ind w:left="851" w:hanging="284"/>
              <w:rPr>
                <w:rFonts w:eastAsia="Malgun Gothic"/>
                <w:noProof/>
                <w:lang w:eastAsia="ko-KR"/>
              </w:rPr>
            </w:pPr>
            <w:r w:rsidRPr="00CD462C">
              <w:rPr>
                <w:rFonts w:eastAsia="Malgun Gothic"/>
                <w:noProof/>
                <w:lang w:eastAsia="ko-KR"/>
              </w:rPr>
              <w:t>2&gt;</w:t>
            </w:r>
            <w:r w:rsidRPr="00CD462C">
              <w:rPr>
                <w:rFonts w:eastAsia="Malgun Gothic"/>
                <w:noProof/>
                <w:lang w:eastAsia="ko-KR"/>
              </w:rPr>
              <w:tab/>
              <w:t>if the uplink grant was received on PDCCH for the C-RNTI and the HARQ buffer of the identified process is empty; or</w:t>
            </w:r>
          </w:p>
          <w:p w14:paraId="1D841CBD" w14:textId="77777777" w:rsidR="00CD462C" w:rsidRPr="00CD462C" w:rsidRDefault="00CD462C" w:rsidP="00CD462C">
            <w:pPr>
              <w:ind w:left="851" w:hanging="284"/>
              <w:rPr>
                <w:rFonts w:eastAsia="Malgun Gothic"/>
                <w:noProof/>
              </w:rPr>
            </w:pPr>
            <w:r w:rsidRPr="00CD462C">
              <w:rPr>
                <w:rFonts w:eastAsia="Malgun Gothic"/>
                <w:noProof/>
                <w:lang w:eastAsia="ko-KR"/>
              </w:rPr>
              <w:t>2&gt;</w:t>
            </w:r>
            <w:r w:rsidRPr="00CD462C">
              <w:rPr>
                <w:rFonts w:eastAsia="Malgun Gothic"/>
                <w:noProof/>
              </w:rPr>
              <w:tab/>
            </w:r>
            <w:r w:rsidRPr="00CD462C">
              <w:rPr>
                <w:rFonts w:eastAsia="Malgun Gothic"/>
                <w:noProof/>
                <w:highlight w:val="yellow"/>
              </w:rPr>
              <w:t>if the uplink grant was received in a Random Access Response</w:t>
            </w:r>
            <w:r w:rsidRPr="00CD462C">
              <w:rPr>
                <w:rFonts w:eastAsia="Malgun Gothic"/>
                <w:noProof/>
              </w:rPr>
              <w:t>; or</w:t>
            </w:r>
          </w:p>
          <w:p w14:paraId="704F3189" w14:textId="77777777" w:rsidR="00CD462C" w:rsidRPr="00CD462C" w:rsidRDefault="00CD462C" w:rsidP="00CD462C">
            <w:pPr>
              <w:ind w:left="851" w:hanging="284"/>
              <w:rPr>
                <w:rFonts w:eastAsia="Malgun Gothic"/>
                <w:noProof/>
              </w:rPr>
            </w:pPr>
            <w:r w:rsidRPr="00CD462C">
              <w:rPr>
                <w:rFonts w:eastAsia="Malgun Gothic"/>
                <w:noProof/>
              </w:rPr>
              <w:t>2&gt;</w:t>
            </w:r>
            <w:r w:rsidRPr="00CD462C">
              <w:rPr>
                <w:rFonts w:eastAsia="Malgun Gothic"/>
                <w:noProof/>
              </w:rPr>
              <w:tab/>
              <w:t>if the uplink grant is part of a bundle of the configured uplink grant, and may be used for initial transmission according to subclause 6.1.2.3 of TS 38.214 [7], and if no MAC PDU has been obtained for this bundle:</w:t>
            </w:r>
          </w:p>
          <w:p w14:paraId="292C3B6C" w14:textId="77777777" w:rsidR="00CD462C" w:rsidRPr="00CD462C" w:rsidRDefault="00CD462C" w:rsidP="00CD462C">
            <w:pPr>
              <w:ind w:left="1135" w:hanging="284"/>
              <w:rPr>
                <w:rFonts w:eastAsia="Malgun Gothic"/>
                <w:noProof/>
                <w:highlight w:val="yellow"/>
              </w:rPr>
            </w:pPr>
            <w:r w:rsidRPr="00CD462C">
              <w:rPr>
                <w:rFonts w:eastAsia="Malgun Gothic"/>
                <w:noProof/>
                <w:highlight w:val="yellow"/>
                <w:lang w:eastAsia="ko-KR"/>
              </w:rPr>
              <w:t>3&gt;</w:t>
            </w:r>
            <w:r w:rsidRPr="00CD462C">
              <w:rPr>
                <w:rFonts w:eastAsia="Malgun Gothic"/>
                <w:noProof/>
                <w:highlight w:val="yellow"/>
              </w:rPr>
              <w:tab/>
              <w:t xml:space="preserve">if there is a MAC PDU in the </w:t>
            </w:r>
            <w:r w:rsidRPr="00CD462C">
              <w:rPr>
                <w:rFonts w:eastAsia="Malgun Gothic"/>
                <w:highlight w:val="yellow"/>
              </w:rPr>
              <w:t>Msg3</w:t>
            </w:r>
            <w:r w:rsidRPr="00CD462C">
              <w:rPr>
                <w:rFonts w:eastAsia="Malgun Gothic"/>
                <w:noProof/>
                <w:highlight w:val="yellow"/>
              </w:rPr>
              <w:t xml:space="preserve"> buffer</w:t>
            </w:r>
            <w:r w:rsidRPr="00CD462C">
              <w:rPr>
                <w:rFonts w:eastAsia="Malgun Gothic"/>
                <w:noProof/>
                <w:highlight w:val="yellow"/>
                <w:lang w:eastAsia="zh-CN"/>
              </w:rPr>
              <w:t xml:space="preserve"> and the uplink grant was received in a Random Access Response</w:t>
            </w:r>
            <w:r w:rsidRPr="00CD462C">
              <w:rPr>
                <w:rFonts w:eastAsia="Malgun Gothic"/>
                <w:noProof/>
                <w:highlight w:val="yellow"/>
              </w:rPr>
              <w:t>:</w:t>
            </w:r>
          </w:p>
          <w:p w14:paraId="20F07262" w14:textId="77777777" w:rsidR="00CD462C" w:rsidRPr="00CD462C" w:rsidRDefault="00CD462C" w:rsidP="00CD462C">
            <w:pPr>
              <w:ind w:left="1418" w:hanging="284"/>
              <w:rPr>
                <w:rFonts w:eastAsia="Malgun Gothic"/>
                <w:noProof/>
              </w:rPr>
            </w:pPr>
            <w:r w:rsidRPr="00CD462C">
              <w:rPr>
                <w:rFonts w:eastAsia="Malgun Gothic"/>
                <w:noProof/>
                <w:highlight w:val="yellow"/>
                <w:lang w:eastAsia="ko-KR"/>
              </w:rPr>
              <w:t>4&gt;</w:t>
            </w:r>
            <w:r w:rsidRPr="00CD462C">
              <w:rPr>
                <w:rFonts w:eastAsia="Malgun Gothic"/>
                <w:noProof/>
                <w:highlight w:val="yellow"/>
              </w:rPr>
              <w:tab/>
              <w:t xml:space="preserve">obtain the MAC PDU to transmit from the </w:t>
            </w:r>
            <w:r w:rsidRPr="00CD462C">
              <w:rPr>
                <w:rFonts w:eastAsia="Malgun Gothic"/>
                <w:highlight w:val="yellow"/>
              </w:rPr>
              <w:t>Msg3</w:t>
            </w:r>
            <w:r w:rsidRPr="00CD462C">
              <w:rPr>
                <w:rFonts w:eastAsia="Malgun Gothic"/>
                <w:noProof/>
                <w:highlight w:val="yellow"/>
              </w:rPr>
              <w:t xml:space="preserve"> buffer.</w:t>
            </w:r>
          </w:p>
          <w:p w14:paraId="4360CC67" w14:textId="77777777" w:rsidR="00CD462C" w:rsidRPr="00CD462C" w:rsidRDefault="00CD462C" w:rsidP="00CD462C">
            <w:pPr>
              <w:ind w:left="1135" w:hanging="284"/>
              <w:rPr>
                <w:rFonts w:eastAsia="Malgun Gothic"/>
                <w:noProof/>
              </w:rPr>
            </w:pPr>
            <w:r w:rsidRPr="00CD462C">
              <w:rPr>
                <w:rFonts w:eastAsia="Malgun Gothic"/>
                <w:noProof/>
                <w:lang w:eastAsia="ko-KR"/>
              </w:rPr>
              <w:t>3&gt;</w:t>
            </w:r>
            <w:r w:rsidRPr="00CD462C">
              <w:rPr>
                <w:rFonts w:eastAsia="Malgun Gothic"/>
                <w:noProof/>
              </w:rPr>
              <w:tab/>
              <w:t>else:</w:t>
            </w:r>
          </w:p>
          <w:p w14:paraId="738E6B19" w14:textId="77777777" w:rsidR="00CD462C" w:rsidRPr="00CD462C" w:rsidRDefault="00CD462C" w:rsidP="00CD462C">
            <w:pPr>
              <w:ind w:left="1418" w:hanging="284"/>
              <w:rPr>
                <w:rFonts w:eastAsia="Malgun Gothic"/>
                <w:noProof/>
              </w:rPr>
            </w:pPr>
            <w:r w:rsidRPr="00CD462C">
              <w:rPr>
                <w:rFonts w:eastAsia="Malgun Gothic"/>
                <w:noProof/>
                <w:lang w:eastAsia="ko-KR"/>
              </w:rPr>
              <w:t>4&gt;</w:t>
            </w:r>
            <w:r w:rsidRPr="00CD462C">
              <w:rPr>
                <w:rFonts w:eastAsia="Malgun Gothic"/>
                <w:noProof/>
              </w:rPr>
              <w:tab/>
              <w:t>obtain the MAC PDU to transmit from the Multiplexing and assembly entity, if any;</w:t>
            </w:r>
          </w:p>
          <w:p w14:paraId="39AF9C90" w14:textId="77777777" w:rsidR="00CD462C" w:rsidRPr="00CD462C" w:rsidRDefault="00CD462C" w:rsidP="00CD462C">
            <w:pPr>
              <w:ind w:left="1135" w:hanging="284"/>
              <w:rPr>
                <w:rFonts w:eastAsia="Malgun Gothic"/>
                <w:noProof/>
              </w:rPr>
            </w:pPr>
            <w:r w:rsidRPr="00CD462C">
              <w:rPr>
                <w:rFonts w:eastAsia="Malgun Gothic"/>
                <w:noProof/>
                <w:lang w:eastAsia="ko-KR"/>
              </w:rPr>
              <w:t>3&gt;</w:t>
            </w:r>
            <w:r w:rsidRPr="00CD462C">
              <w:rPr>
                <w:rFonts w:eastAsia="Malgun Gothic"/>
                <w:noProof/>
                <w:lang w:eastAsia="zh-CN"/>
              </w:rPr>
              <w:tab/>
              <w:t>if a MAC PDU to transmit has been obtained:</w:t>
            </w:r>
          </w:p>
          <w:p w14:paraId="21160B2B" w14:textId="77777777" w:rsidR="00CD462C" w:rsidRPr="00CD462C" w:rsidRDefault="00CD462C" w:rsidP="00CD462C">
            <w:pPr>
              <w:ind w:left="1418" w:hanging="284"/>
              <w:rPr>
                <w:rFonts w:eastAsia="Malgun Gothic"/>
              </w:rPr>
            </w:pPr>
            <w:r w:rsidRPr="00CD462C">
              <w:rPr>
                <w:rFonts w:eastAsia="Malgun Gothic"/>
                <w:lang w:eastAsia="ko-KR"/>
              </w:rPr>
              <w:t>4&gt;</w:t>
            </w:r>
            <w:r w:rsidRPr="00CD462C">
              <w:rPr>
                <w:rFonts w:eastAsia="Malgun Gothic"/>
              </w:rPr>
              <w:tab/>
              <w:t>deliver the MAC PDU and the uplink grant and the HARQ information of the TB</w:t>
            </w:r>
            <w:r w:rsidRPr="00CD462C">
              <w:rPr>
                <w:rFonts w:eastAsia="Malgun Gothic"/>
                <w:lang w:eastAsia="ko-KR"/>
              </w:rPr>
              <w:t xml:space="preserve"> </w:t>
            </w:r>
            <w:r w:rsidRPr="00CD462C">
              <w:rPr>
                <w:rFonts w:eastAsia="Malgun Gothic"/>
              </w:rPr>
              <w:t>to the identified HARQ process;</w:t>
            </w:r>
          </w:p>
          <w:p w14:paraId="03D33488" w14:textId="54F487D1" w:rsidR="00CD462C" w:rsidRPr="009729F1" w:rsidRDefault="00CD462C" w:rsidP="00E72E4F">
            <w:pPr>
              <w:ind w:left="568" w:hanging="284"/>
              <w:rPr>
                <w:rFonts w:eastAsia="Malgun Gothic"/>
                <w:lang w:eastAsia="ko-KR"/>
              </w:rPr>
            </w:pPr>
            <w:r>
              <w:rPr>
                <w:rFonts w:eastAsia="Malgun Gothic"/>
                <w:lang w:eastAsia="ko-KR"/>
              </w:rPr>
              <w:t>(…)</w:t>
            </w:r>
          </w:p>
        </w:tc>
      </w:tr>
    </w:tbl>
    <w:p w14:paraId="3051744A" w14:textId="77777777" w:rsidR="009729F1" w:rsidRDefault="009729F1" w:rsidP="00CD4C7B"/>
    <w:p w14:paraId="7DC7AABE" w14:textId="2FBC0B23" w:rsidR="00121C6C" w:rsidRPr="00121C6C" w:rsidRDefault="00121C6C" w:rsidP="00CD4C7B">
      <w:pPr>
        <w:rPr>
          <w:b/>
        </w:rPr>
      </w:pPr>
      <w:r>
        <w:rPr>
          <w:b/>
        </w:rPr>
        <w:t>Observation 1: If MAC PDU exists in a Msg3 buffer, it is obtained even in case of CFRA procedure.</w:t>
      </w:r>
    </w:p>
    <w:p w14:paraId="4E4E9655" w14:textId="34E48902" w:rsidR="00CD462C" w:rsidRDefault="00CD462C" w:rsidP="00CD4C7B">
      <w:r>
        <w:lastRenderedPageBreak/>
        <w:t>In the above case, if the grant provided in response to CFRA preamble transmission is equal in size to the grant provided earlier in response to CBRA preamble transmission, the MAC PDU in Msg3 buffer can naturally be transmitted in the provided grant. However, as there are two different preamble groups defined and as NW does not know if the UE even attempted CBRA before CFRA, it is not possible for the NW to know which size of grant should be provided to the UE</w:t>
      </w:r>
      <w:r w:rsidR="00121C6C">
        <w:t xml:space="preserve"> to avoid the issue with different grant size from the MAC PDU in Msg3 buffer</w:t>
      </w:r>
      <w:r>
        <w:t>.</w:t>
      </w:r>
      <w:r w:rsidR="00121C6C">
        <w:t xml:space="preserve"> Hence, it is expected the issue with different Msg3 grant sizes will be much more frequent in NR than it was in LTE.</w:t>
      </w:r>
    </w:p>
    <w:p w14:paraId="3E68EFB0" w14:textId="0168C151" w:rsidR="00121C6C" w:rsidRDefault="00121C6C" w:rsidP="00CD4C7B">
      <w:pPr>
        <w:rPr>
          <w:b/>
        </w:rPr>
      </w:pPr>
      <w:r>
        <w:rPr>
          <w:b/>
        </w:rPr>
        <w:t>Observation 2: The issue with different Msg3 grant sizes is much more frequent in NR than it was in LTE.</w:t>
      </w:r>
    </w:p>
    <w:p w14:paraId="2ACCFCBF" w14:textId="2DA552A2" w:rsidR="00ED2751" w:rsidRPr="00815F22" w:rsidRDefault="00815F22" w:rsidP="00CD4C7B">
      <w:r>
        <w:t>Given the observation 2 and the fact that the MAC PDU in the Msg3 buffer would usually multiplex at least a segment of the HO complete command (</w:t>
      </w:r>
      <w:r w:rsidRPr="00815F22">
        <w:rPr>
          <w:i/>
        </w:rPr>
        <w:t>RRCReconfigurationComplete</w:t>
      </w:r>
      <w:r>
        <w:t>), it is desirable not to lose such data and delay the completion of the HO procedure (as RLC level re-transmission would be required).</w:t>
      </w:r>
    </w:p>
    <w:p w14:paraId="29D64C45" w14:textId="08C2ECB3" w:rsidR="00CD462C" w:rsidRDefault="00121C6C" w:rsidP="00121C6C">
      <w:pPr>
        <w:pStyle w:val="Heading2"/>
      </w:pPr>
      <w:r>
        <w:t>2.3</w:t>
      </w:r>
      <w:r>
        <w:tab/>
        <w:t>Solution options</w:t>
      </w:r>
    </w:p>
    <w:p w14:paraId="38FF5469" w14:textId="520AEF19" w:rsidR="00121C6C" w:rsidRPr="00121C6C" w:rsidRDefault="00815F22" w:rsidP="00121C6C">
      <w:r>
        <w:t xml:space="preserve">In </w:t>
      </w:r>
      <w:hyperlink r:id="rId15" w:tooltip="D:Documents3GPPtsg_ranWG2RAN2DocsR2-1806919.zip" w:history="1">
        <w:r w:rsidRPr="00815F22">
          <w:rPr>
            <w:rStyle w:val="Hyperlink"/>
          </w:rPr>
          <w:t>R2-1806919</w:t>
        </w:r>
      </w:hyperlink>
      <w:r>
        <w:t>, it was proposed to disallow usage of CFRA after the first attempt with CBRA preamble during a RA procedure. Such an approach seems quite radical and would lead to wastage of allocated CFRA resources completely, e.g., in case a beam with only CBRA possibility is selected first in the RA procedure.</w:t>
      </w:r>
    </w:p>
    <w:p w14:paraId="642BE24E" w14:textId="0E7CC882" w:rsidR="00121C6C" w:rsidRPr="00F602A1" w:rsidRDefault="00F602A1" w:rsidP="00CD4C7B">
      <w:pPr>
        <w:rPr>
          <w:b/>
        </w:rPr>
      </w:pPr>
      <w:r>
        <w:rPr>
          <w:b/>
        </w:rPr>
        <w:t>Observation 3: Disallowing the usage of CFRA after the first attempt with CBRA would lead to wastage of allocated CFRA resources.</w:t>
      </w:r>
    </w:p>
    <w:p w14:paraId="44322837" w14:textId="42941B2B" w:rsidR="00121C6C" w:rsidRDefault="00F602A1" w:rsidP="00CD4C7B">
      <w:r>
        <w:t xml:space="preserve">It seems more straightforward to limit the usage of preamble group for CBRA attempt to group A in case the RA procedure involves the possibility of using also CFRA resources. By means of this, the NW can always provide the same size of grant in response to CFRA preamble transmission </w:t>
      </w:r>
      <w:r w:rsidR="000E5A9B">
        <w:t>with Msg3 grant in response to CBRA preamble transmission.</w:t>
      </w:r>
      <w:r>
        <w:t xml:space="preserve"> </w:t>
      </w:r>
      <w:r w:rsidR="0039351C">
        <w:t>In principle, if u</w:t>
      </w:r>
      <w:r>
        <w:t xml:space="preserve">sing always group A </w:t>
      </w:r>
      <w:r w:rsidR="0039351C">
        <w:t>is considered too restrictive</w:t>
      </w:r>
      <w:r w:rsidR="000E5A9B">
        <w:t>, more NW flexibilit</w:t>
      </w:r>
      <w:r w:rsidR="0039351C">
        <w:t>y could be enabled by being able to configure which group to use by the UE</w:t>
      </w:r>
      <w:r w:rsidR="000E5A9B">
        <w:t>.</w:t>
      </w:r>
    </w:p>
    <w:p w14:paraId="18F9F2CC" w14:textId="26FAF344" w:rsidR="000E5A9B" w:rsidRDefault="000E5A9B" w:rsidP="00CD4C7B">
      <w:pPr>
        <w:rPr>
          <w:b/>
        </w:rPr>
      </w:pPr>
      <w:r>
        <w:rPr>
          <w:b/>
        </w:rPr>
        <w:t xml:space="preserve">Proposal: For RA procedure </w:t>
      </w:r>
      <w:r w:rsidR="0039351C">
        <w:rPr>
          <w:b/>
        </w:rPr>
        <w:t>provided</w:t>
      </w:r>
      <w:r>
        <w:rPr>
          <w:b/>
        </w:rPr>
        <w:t xml:space="preserve"> with CFRA resources, in case of CBRA preamble transmission the UE shall apply preambles from </w:t>
      </w:r>
      <w:r w:rsidR="0039351C">
        <w:rPr>
          <w:b/>
        </w:rPr>
        <w:t xml:space="preserve">preamble group </w:t>
      </w:r>
      <w:r>
        <w:rPr>
          <w:b/>
        </w:rPr>
        <w:t>A.</w:t>
      </w:r>
    </w:p>
    <w:p w14:paraId="43A12B72" w14:textId="5E93E45C" w:rsidR="00CD4C7B" w:rsidRPr="006E13D1" w:rsidRDefault="000E5A9B" w:rsidP="00CD4C7B">
      <w:pPr>
        <w:pStyle w:val="Heading1"/>
      </w:pPr>
      <w:r>
        <w:t>3</w:t>
      </w:r>
      <w:r w:rsidR="00CD4C7B" w:rsidRPr="006E13D1">
        <w:tab/>
      </w:r>
      <w:r>
        <w:t>Conclusions</w:t>
      </w:r>
    </w:p>
    <w:p w14:paraId="190C81D1" w14:textId="2B11D73D" w:rsidR="00CD4C7B" w:rsidRDefault="000E5A9B" w:rsidP="00CD4C7B">
      <w:r>
        <w:t>In this contribution the issue of switching from CBRA to CFRA during one RA procedure is discussed and it is observed such an issue will happen in NR more frequently than it was in LTE. The following proposal is made to overcome the issue:</w:t>
      </w:r>
    </w:p>
    <w:p w14:paraId="4ADCDF7B" w14:textId="77777777" w:rsidR="0039351C" w:rsidRDefault="0039351C" w:rsidP="0039351C">
      <w:pPr>
        <w:rPr>
          <w:b/>
        </w:rPr>
      </w:pPr>
      <w:r>
        <w:rPr>
          <w:b/>
        </w:rPr>
        <w:t>Proposal: For RA procedure provided with CFRA resources, in case of CBRA preamble transmission the UE shall apply preambles from preamble group A.</w:t>
      </w:r>
    </w:p>
    <w:p w14:paraId="025CFC44" w14:textId="5DD90AE5" w:rsidR="0041571E" w:rsidRPr="0041571E" w:rsidRDefault="0041571E" w:rsidP="00CD4C7B">
      <w:r>
        <w:t>The corresponding CR is provided in [1]</w:t>
      </w:r>
      <w:r w:rsidR="00EB21EA">
        <w:t>.</w:t>
      </w:r>
      <w:bookmarkStart w:id="5" w:name="_GoBack"/>
      <w:bookmarkEnd w:id="5"/>
    </w:p>
    <w:p w14:paraId="7735B04F" w14:textId="77777777" w:rsidR="0041571E" w:rsidRPr="0041571E" w:rsidRDefault="0041571E" w:rsidP="0041571E">
      <w:pPr>
        <w:pStyle w:val="Heading1"/>
      </w:pPr>
      <w:r w:rsidRPr="0041571E">
        <w:t>References</w:t>
      </w:r>
    </w:p>
    <w:p w14:paraId="61B9C793" w14:textId="6FA7544C" w:rsidR="0041571E" w:rsidRPr="006E13D1" w:rsidRDefault="0041571E" w:rsidP="0041571E">
      <w:pPr>
        <w:numPr>
          <w:ilvl w:val="0"/>
          <w:numId w:val="4"/>
        </w:numPr>
        <w:overflowPunct w:val="0"/>
        <w:autoSpaceDE w:val="0"/>
        <w:autoSpaceDN w:val="0"/>
        <w:adjustRightInd w:val="0"/>
        <w:textAlignment w:val="baseline"/>
      </w:pPr>
      <w:r>
        <w:t>R2-18</w:t>
      </w:r>
      <w:r w:rsidR="00A875EA">
        <w:t>10158</w:t>
      </w:r>
      <w:r w:rsidRPr="006E13D1">
        <w:t xml:space="preserve"> </w:t>
      </w:r>
      <w:r>
        <w:rPr>
          <w:i/>
          <w:iCs/>
        </w:rPr>
        <w:t xml:space="preserve">Correction to preamble group selection for CBRA </w:t>
      </w:r>
      <w:r>
        <w:t>– Nokia, Nokia Shanghai Bell</w:t>
      </w:r>
    </w:p>
    <w:p w14:paraId="64E9C4F4" w14:textId="77777777" w:rsidR="0041571E" w:rsidRPr="00BA58A3" w:rsidRDefault="0041571E" w:rsidP="00CD4C7B">
      <w:pPr>
        <w:rPr>
          <w:b/>
        </w:rPr>
      </w:pPr>
    </w:p>
    <w:sectPr w:rsidR="0041571E" w:rsidRPr="00BA58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E12BA" w14:textId="77777777" w:rsidR="0008400A" w:rsidRDefault="0008400A">
      <w:r>
        <w:separator/>
      </w:r>
    </w:p>
  </w:endnote>
  <w:endnote w:type="continuationSeparator" w:id="0">
    <w:p w14:paraId="753F9641" w14:textId="77777777" w:rsidR="0008400A" w:rsidRDefault="0008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D3680" w14:textId="77777777" w:rsidR="0008400A" w:rsidRDefault="0008400A">
      <w:r>
        <w:separator/>
      </w:r>
    </w:p>
  </w:footnote>
  <w:footnote w:type="continuationSeparator" w:id="0">
    <w:p w14:paraId="4EC8A57C" w14:textId="77777777" w:rsidR="0008400A" w:rsidRDefault="00084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8904209"/>
    <w:multiLevelType w:val="hybridMultilevel"/>
    <w:tmpl w:val="A738A828"/>
    <w:lvl w:ilvl="0" w:tplc="C128BFE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400A"/>
    <w:rsid w:val="00090468"/>
    <w:rsid w:val="000B7BCF"/>
    <w:rsid w:val="000C522B"/>
    <w:rsid w:val="000D58AB"/>
    <w:rsid w:val="000E5A9B"/>
    <w:rsid w:val="000F16D7"/>
    <w:rsid w:val="00112F1A"/>
    <w:rsid w:val="00121C6C"/>
    <w:rsid w:val="00145075"/>
    <w:rsid w:val="001741A0"/>
    <w:rsid w:val="00175FA0"/>
    <w:rsid w:val="00194CD0"/>
    <w:rsid w:val="001B49C9"/>
    <w:rsid w:val="001C4F79"/>
    <w:rsid w:val="001F168B"/>
    <w:rsid w:val="001F7831"/>
    <w:rsid w:val="00204045"/>
    <w:rsid w:val="0020712B"/>
    <w:rsid w:val="0022606D"/>
    <w:rsid w:val="00231728"/>
    <w:rsid w:val="0023749D"/>
    <w:rsid w:val="002610D8"/>
    <w:rsid w:val="002747EC"/>
    <w:rsid w:val="002855BF"/>
    <w:rsid w:val="002F0D22"/>
    <w:rsid w:val="00312CD3"/>
    <w:rsid w:val="003172DC"/>
    <w:rsid w:val="00325AE3"/>
    <w:rsid w:val="00326069"/>
    <w:rsid w:val="0035462D"/>
    <w:rsid w:val="00364B41"/>
    <w:rsid w:val="00366AB7"/>
    <w:rsid w:val="0039351C"/>
    <w:rsid w:val="003A41EF"/>
    <w:rsid w:val="003B40AD"/>
    <w:rsid w:val="003C4E37"/>
    <w:rsid w:val="003E16BE"/>
    <w:rsid w:val="003F4E28"/>
    <w:rsid w:val="004006E8"/>
    <w:rsid w:val="00401855"/>
    <w:rsid w:val="0041571E"/>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23AD7"/>
    <w:rsid w:val="007342B5"/>
    <w:rsid w:val="00734A5B"/>
    <w:rsid w:val="00744E76"/>
    <w:rsid w:val="00757D40"/>
    <w:rsid w:val="00781F0F"/>
    <w:rsid w:val="0078727C"/>
    <w:rsid w:val="0079049D"/>
    <w:rsid w:val="00793DC5"/>
    <w:rsid w:val="007B18D8"/>
    <w:rsid w:val="007C095F"/>
    <w:rsid w:val="008028A4"/>
    <w:rsid w:val="00813245"/>
    <w:rsid w:val="00815F22"/>
    <w:rsid w:val="008768CA"/>
    <w:rsid w:val="00877EF9"/>
    <w:rsid w:val="00880559"/>
    <w:rsid w:val="00894444"/>
    <w:rsid w:val="008B5306"/>
    <w:rsid w:val="008D2E4D"/>
    <w:rsid w:val="0090271F"/>
    <w:rsid w:val="00902DB9"/>
    <w:rsid w:val="0090466A"/>
    <w:rsid w:val="00936071"/>
    <w:rsid w:val="00940212"/>
    <w:rsid w:val="00942EC2"/>
    <w:rsid w:val="00961B32"/>
    <w:rsid w:val="00970DB3"/>
    <w:rsid w:val="009729F1"/>
    <w:rsid w:val="00974BB0"/>
    <w:rsid w:val="009A0AF3"/>
    <w:rsid w:val="009B07CD"/>
    <w:rsid w:val="009C19E9"/>
    <w:rsid w:val="009D74A6"/>
    <w:rsid w:val="00A10F02"/>
    <w:rsid w:val="00A204CA"/>
    <w:rsid w:val="00A53724"/>
    <w:rsid w:val="00A82346"/>
    <w:rsid w:val="00A875EA"/>
    <w:rsid w:val="00A9671C"/>
    <w:rsid w:val="00AA1553"/>
    <w:rsid w:val="00B05962"/>
    <w:rsid w:val="00B15449"/>
    <w:rsid w:val="00B27303"/>
    <w:rsid w:val="00B47FD1"/>
    <w:rsid w:val="00B516BB"/>
    <w:rsid w:val="00B56691"/>
    <w:rsid w:val="00BA58A3"/>
    <w:rsid w:val="00BC3555"/>
    <w:rsid w:val="00C12B51"/>
    <w:rsid w:val="00C24650"/>
    <w:rsid w:val="00C33079"/>
    <w:rsid w:val="00C83A13"/>
    <w:rsid w:val="00C9068C"/>
    <w:rsid w:val="00C92967"/>
    <w:rsid w:val="00CA3D0C"/>
    <w:rsid w:val="00CA654B"/>
    <w:rsid w:val="00CD462C"/>
    <w:rsid w:val="00CD4C7B"/>
    <w:rsid w:val="00D1708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B21EA"/>
    <w:rsid w:val="00EC4A25"/>
    <w:rsid w:val="00ED2751"/>
    <w:rsid w:val="00F025A2"/>
    <w:rsid w:val="00F07388"/>
    <w:rsid w:val="00F2026E"/>
    <w:rsid w:val="00F2210A"/>
    <w:rsid w:val="00F37743"/>
    <w:rsid w:val="00F54A3D"/>
    <w:rsid w:val="00F54CB0"/>
    <w:rsid w:val="00F602A1"/>
    <w:rsid w:val="00F653B8"/>
    <w:rsid w:val="00F71B89"/>
    <w:rsid w:val="00F7353C"/>
    <w:rsid w:val="00F76F8F"/>
    <w:rsid w:val="00FA1266"/>
    <w:rsid w:val="00FB1EA7"/>
    <w:rsid w:val="00FB36FA"/>
    <w:rsid w:val="00FC1192"/>
    <w:rsid w:val="00FE0BF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0F16D7"/>
    <w:rPr>
      <w:color w:val="808080"/>
      <w:shd w:val="clear" w:color="auto" w:fill="E6E6E6"/>
    </w:rPr>
  </w:style>
  <w:style w:type="table" w:styleId="TableGrid">
    <w:name w:val="Table Grid"/>
    <w:basedOn w:val="TableNormal"/>
    <w:rsid w:val="00972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8_series/38.321/38321-f1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6_series/36.321/36321-f1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2/Docs/R2-1806919.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8_series/38.321/38321-f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025C6DCD-70DA-41F8-A095-4E7C5EC1EA8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1200</Words>
  <Characters>6841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Nokia</cp:lastModifiedBy>
  <cp:revision>3</cp:revision>
  <dcterms:created xsi:type="dcterms:W3CDTF">2018-06-21T14:51:00Z</dcterms:created>
  <dcterms:modified xsi:type="dcterms:W3CDTF">2018-06-21T16:17:00Z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